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77777777"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0466C121" w14:textId="3711137D" w:rsidR="00473922" w:rsidRPr="00190750" w:rsidRDefault="00DD3827" w:rsidP="00190750">
                  <w:pPr>
                    <w:pStyle w:val="ad"/>
                    <w:widowControl/>
                    <w:rPr>
                      <w:rFonts w:ascii="ＭＳ ゴシック" w:eastAsia="ＭＳ ゴシック" w:hAnsi="ＭＳ ゴシック" w:hint="eastAsia"/>
                      <w:sz w:val="22"/>
                      <w:szCs w:val="22"/>
                    </w:rPr>
                  </w:pPr>
                  <w:r w:rsidRPr="00DD3827">
                    <w:rPr>
                      <w:rFonts w:ascii="ＭＳ ゴシック" w:eastAsia="ＭＳ ゴシック" w:hAnsi="ＭＳ ゴシック" w:hint="eastAsia"/>
                      <w:sz w:val="22"/>
                      <w:szCs w:val="22"/>
                    </w:rPr>
                    <w:t>トンネル掘削時における供用線の計測に関する提案</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502048"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評価項目</w:t>
            </w:r>
            <w:r w:rsidRPr="00502048">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099F968E" w:rsidR="00EA75B7" w:rsidRPr="00502048" w:rsidRDefault="00DD3827" w:rsidP="00EA75B7">
                  <w:pPr>
                    <w:pStyle w:val="aff0"/>
                    <w:rPr>
                      <w:rFonts w:ascii="ＭＳ ゴシック" w:eastAsia="ＭＳ ゴシック" w:hAnsi="ＭＳ ゴシック" w:hint="eastAsia"/>
                      <w:b w:val="0"/>
                      <w:color w:val="auto"/>
                      <w:shd w:val="clear" w:color="auto" w:fill="CCFFCC"/>
                    </w:rPr>
                  </w:pPr>
                  <w:r w:rsidRPr="00DD3827">
                    <w:rPr>
                      <w:rFonts w:ascii="ＭＳ ゴシック" w:eastAsia="ＭＳ ゴシック" w:hAnsi="ＭＳ ゴシック" w:hint="eastAsia"/>
                      <w:b w:val="0"/>
                      <w:color w:val="auto"/>
                    </w:rPr>
                    <w:t>トンネル切羽の評価区分における効率的な算定方法の提案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77777777"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工事名　○○自動車道　○○工事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E53558">
              <w:trPr>
                <w:cantSplit/>
                <w:trHeight w:val="680"/>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5FDE45AE" w14:textId="3A652EBF" w:rsidR="00E30BE2" w:rsidRPr="00190750" w:rsidRDefault="00DD3827" w:rsidP="00DD3827">
                  <w:pPr>
                    <w:pStyle w:val="ad"/>
                    <w:widowControl/>
                    <w:rPr>
                      <w:rFonts w:ascii="ＭＳ ゴシック" w:eastAsia="ＭＳ ゴシック" w:hAnsi="ＭＳ ゴシック" w:hint="eastAsia"/>
                      <w:sz w:val="22"/>
                      <w:szCs w:val="22"/>
                    </w:rPr>
                  </w:pPr>
                  <w:r w:rsidRPr="00DD3827">
                    <w:rPr>
                      <w:rFonts w:ascii="ＭＳ ゴシック" w:eastAsia="ＭＳ ゴシック" w:hAnsi="ＭＳ ゴシック" w:hint="eastAsia"/>
                      <w:sz w:val="22"/>
                      <w:szCs w:val="22"/>
                    </w:rPr>
                    <w:t>トンネル掘削時における供用線の計測に関する提案</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44D4ACE1"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17A62873"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775EF843" w:rsidR="00E53558" w:rsidRPr="00297937" w:rsidRDefault="00E53558">
      <w:pPr>
        <w:widowControl/>
        <w:jc w:val="left"/>
        <w:rPr>
          <w:rFonts w:ascii="ＭＳ ゴシック" w:eastAsia="ＭＳ ゴシック" w:hAnsi="ＭＳ ゴシック"/>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77777777"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25BED631" w:rsidR="00EA75B7" w:rsidRPr="00502048" w:rsidRDefault="00DD3827" w:rsidP="00DD3827">
                  <w:pPr>
                    <w:pStyle w:val="ad"/>
                    <w:spacing w:line="240" w:lineRule="auto"/>
                    <w:rPr>
                      <w:rFonts w:ascii="ＭＳ ゴシック" w:eastAsia="ＭＳ ゴシック" w:hAnsi="ＭＳ ゴシック" w:hint="eastAsia"/>
                      <w:sz w:val="22"/>
                      <w:szCs w:val="22"/>
                    </w:rPr>
                  </w:pPr>
                  <w:r w:rsidRPr="00DD3827">
                    <w:rPr>
                      <w:rFonts w:ascii="ＭＳ ゴシック" w:eastAsia="ＭＳ ゴシック" w:hAnsi="ＭＳ ゴシック" w:hint="eastAsia"/>
                      <w:sz w:val="22"/>
                      <w:szCs w:val="22"/>
                    </w:rPr>
                    <w:t>トンネル切羽の評価区分における効率的な算定方法の提案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2DF91CF0"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0A25386" w14:textId="7FB43AE9" w:rsidR="00187885" w:rsidRPr="00297937" w:rsidRDefault="00187885" w:rsidP="00E53558">
      <w:pPr>
        <w:widowControl/>
        <w:jc w:val="left"/>
        <w:rPr>
          <w:rFonts w:ascii="ＭＳ ゴシック" w:eastAsia="ＭＳ ゴシック" w:hAnsi="ＭＳ ゴシック"/>
        </w:rPr>
      </w:pPr>
      <w:r w:rsidRPr="00502048">
        <w:rPr>
          <w:rFonts w:ascii="ＭＳ ゴシック" w:eastAsia="ＭＳ ゴシック" w:hAnsi="ＭＳ ゴシック"/>
          <w:szCs w:val="21"/>
        </w:rPr>
        <w:br w:type="page"/>
      </w:r>
      <w:r w:rsidRPr="00502048">
        <w:rPr>
          <w:rFonts w:ascii="ＭＳ ゴシック" w:eastAsia="ＭＳ ゴシック" w:hAnsi="ＭＳ ゴシック" w:hint="eastAsia"/>
          <w:szCs w:val="21"/>
        </w:rPr>
        <w:lastRenderedPageBreak/>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41DA852" w14:textId="0B92B239" w:rsidR="00187885" w:rsidRPr="00DD3827" w:rsidRDefault="00DD3827" w:rsidP="00DD3827">
                  <w:pPr>
                    <w:pStyle w:val="ad"/>
                    <w:widowControl/>
                    <w:rPr>
                      <w:rFonts w:ascii="ＭＳ ゴシック" w:eastAsia="ＭＳ ゴシック" w:hAnsi="ＭＳ ゴシック" w:hint="eastAsia"/>
                      <w:sz w:val="22"/>
                      <w:szCs w:val="22"/>
                    </w:rPr>
                  </w:pPr>
                  <w:r w:rsidRPr="00DD3827">
                    <w:rPr>
                      <w:rFonts w:ascii="ＭＳ ゴシック" w:eastAsia="ＭＳ ゴシック" w:hAnsi="ＭＳ ゴシック" w:hint="eastAsia"/>
                      <w:sz w:val="22"/>
                      <w:szCs w:val="22"/>
                    </w:rPr>
                    <w:t>トンネル掘削時における供用線の計測に関する提案</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48D7FDED"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77777777"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○○○○事例事例図面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297937">
              <w:trPr>
                <w:trHeight w:val="298"/>
              </w:trPr>
              <w:tc>
                <w:tcPr>
                  <w:tcW w:w="218" w:type="dxa"/>
                  <w:tcBorders>
                    <w:top w:val="nil"/>
                    <w:left w:val="single" w:sz="4" w:space="0" w:color="auto"/>
                    <w:bottom w:val="nil"/>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297937">
              <w:trPr>
                <w:trHeight w:val="310"/>
              </w:trPr>
              <w:tc>
                <w:tcPr>
                  <w:tcW w:w="10055" w:type="dxa"/>
                  <w:gridSpan w:val="11"/>
                  <w:tcBorders>
                    <w:top w:val="nil"/>
                    <w:left w:val="single" w:sz="4" w:space="0" w:color="auto"/>
                    <w:bottom w:val="nil"/>
                    <w:right w:val="single" w:sz="4" w:space="0" w:color="auto"/>
                  </w:tcBorders>
                </w:tcPr>
                <w:p w14:paraId="3A26AC0A" w14:textId="26DE5E03" w:rsidR="00731E87" w:rsidRPr="00502048" w:rsidRDefault="00731E87" w:rsidP="0078130C">
                  <w:pPr>
                    <w:rPr>
                      <w:rFonts w:ascii="ＭＳ ゴシック" w:eastAsia="ＭＳ ゴシック" w:hAnsi="ＭＳ ゴシック"/>
                      <w:szCs w:val="21"/>
                    </w:rPr>
                  </w:pP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0750"/>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97937"/>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3922"/>
    <w:rsid w:val="0047495A"/>
    <w:rsid w:val="00474C06"/>
    <w:rsid w:val="00477BE9"/>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2EF5"/>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3827"/>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258</Words>
  <Characters>1474</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2024-01-24T05:54:00Z</dcterms:created>
  <dcterms:modified xsi:type="dcterms:W3CDTF">2024-12-19T00:40:00Z</dcterms:modified>
</cp:coreProperties>
</file>